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F5" w:rsidRDefault="00017EF5" w:rsidP="00017EF5">
      <w:pPr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Cs/>
          <w:sz w:val="44"/>
          <w:szCs w:val="44"/>
        </w:rPr>
        <w:t>关</w:t>
      </w:r>
      <w:r>
        <w:rPr>
          <w:rFonts w:ascii="黑体" w:eastAsia="黑体" w:hAnsi="黑体" w:cs="黑体" w:hint="eastAsia"/>
          <w:sz w:val="44"/>
          <w:szCs w:val="44"/>
        </w:rPr>
        <w:t>于咸宁市医疗废物处置收费标准及有关事项的通知</w:t>
      </w:r>
    </w:p>
    <w:bookmarkEnd w:id="0"/>
    <w:p w:rsidR="00017EF5" w:rsidRDefault="00017EF5" w:rsidP="00017EF5">
      <w:pPr>
        <w:adjustRightInd w:val="0"/>
        <w:snapToGrid w:val="0"/>
        <w:spacing w:line="500" w:lineRule="exact"/>
        <w:jc w:val="center"/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(征求意见稿）</w:t>
      </w:r>
    </w:p>
    <w:p w:rsidR="00017EF5" w:rsidRDefault="00017EF5" w:rsidP="00017EF5">
      <w:pPr>
        <w:tabs>
          <w:tab w:val="left" w:pos="980"/>
        </w:tabs>
        <w:spacing w:line="520" w:lineRule="exact"/>
        <w:rPr>
          <w:rFonts w:ascii="仿宋" w:eastAsia="仿宋" w:hint="eastAsia"/>
          <w:sz w:val="32"/>
          <w:szCs w:val="32"/>
        </w:rPr>
      </w:pPr>
    </w:p>
    <w:p w:rsidR="00017EF5" w:rsidRDefault="00017EF5" w:rsidP="00017EF5">
      <w:pPr>
        <w:widowControl/>
        <w:adjustRightInd w:val="0"/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各县（市、区）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发改局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、卫生健康局、生态环境分局，各医疗机构，</w:t>
      </w:r>
      <w:r>
        <w:rPr>
          <w:rFonts w:ascii="仿宋" w:eastAsia="仿宋" w:hAnsi="仿宋" w:cs="仿宋" w:hint="eastAsia"/>
          <w:sz w:val="32"/>
          <w:szCs w:val="32"/>
        </w:rPr>
        <w:t>湖北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汇楚危险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废物处置有限公司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:rsidR="00017EF5" w:rsidRDefault="00017EF5" w:rsidP="00017EF5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汇楚危险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废物处置有限公司《关于申请调整医疗废物处置收费标准的请示》已收悉。为规范我市医疗废物处置收费行为，确保生态环境安全及公众健康，</w:t>
      </w:r>
      <w:r>
        <w:rPr>
          <w:rFonts w:ascii="仿宋_GB2312" w:hAnsi="仿宋_GB2312" w:cs="仿宋_GB2312" w:hint="eastAsia"/>
          <w:sz w:val="32"/>
          <w:szCs w:val="32"/>
        </w:rPr>
        <w:t>根据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《湖北省定价目录》（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鄂发改规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〔2025〕1号）、</w:t>
      </w:r>
      <w:r>
        <w:rPr>
          <w:rFonts w:ascii="仿宋_GB2312" w:hAnsi="仿宋_GB2312" w:cs="仿宋_GB2312" w:hint="eastAsia"/>
          <w:sz w:val="32"/>
          <w:szCs w:val="32"/>
        </w:rPr>
        <w:t>《湖北省物价局省卫生厅省环保厅关于印发〈湖北省医疗废物处置收费管理暂行办法〉的通知》(鄂价费〔2009〕239号)等有关规定，经报市人民政府同意，现就我市医疗废物集中处置收费标准及有关事项通知如下：</w:t>
      </w:r>
    </w:p>
    <w:p w:rsidR="00017EF5" w:rsidRDefault="00017EF5" w:rsidP="00017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一、收费范围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咸宁市所辖范围内凡与湖北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汇楚危险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废物处置有限公司签订了医疗废物处置协议的单位均按本通知执行。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二、收费标准    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（一）有固定床位的医疗机构，按住院病人床位使用数量3元/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床日收取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，其中有固定床位的一级及以下（含未评定等级）非营利性医疗机构、经卫生行政主管部门认定的精神病医院按以上标准减半收取。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（二）无固定床位的医疗机构，按每月医疗废物平均产生量，每单位每月50元缴纳医疗废物处置费。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（三）医疗机构以外的其他单位产生的医疗废物按每公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斤3.5元的标准收取。</w:t>
      </w:r>
    </w:p>
    <w:p w:rsidR="00017EF5" w:rsidRDefault="00017EF5" w:rsidP="00017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三、其他事项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（一）医疗废物集中处置企业应当与医疗废物产生单位签订服务协议，明确双方的权利义务关系。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（二）医疗废物处置单位应在收费场所醒目位置公示收费项目和收费标准，自觉接受社会的监督。</w:t>
      </w:r>
    </w:p>
    <w:p w:rsidR="00017EF5" w:rsidRDefault="00017EF5" w:rsidP="00017EF5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（三）所缴纳的医疗废物处置费计入医疗服务成本，不得另向病人加收。</w:t>
      </w:r>
    </w:p>
    <w:p w:rsidR="00017EF5" w:rsidRDefault="00017EF5" w:rsidP="00017EF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四、执行时间</w:t>
      </w:r>
    </w:p>
    <w:p w:rsidR="00017EF5" w:rsidRDefault="00017EF5" w:rsidP="00017EF5">
      <w:pPr>
        <w:spacing w:line="560" w:lineRule="exact"/>
        <w:ind w:firstLineChars="200" w:firstLine="640"/>
      </w:pPr>
      <w:r>
        <w:rPr>
          <w:rFonts w:ascii="仿宋_GB2312" w:hAnsi="仿宋_GB2312" w:cs="仿宋_GB2312" w:hint="eastAsia"/>
          <w:sz w:val="32"/>
          <w:szCs w:val="32"/>
        </w:rPr>
        <w:t>本通知自2025年 月 日起执行，原市物价局、市卫生和计划生育委员会《关于对咸宁市医疗废物集中处置收费标准批复》（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咸价费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〔2016〕25号）同时废止。</w:t>
      </w:r>
    </w:p>
    <w:p w:rsidR="00017EF5" w:rsidRDefault="00017EF5" w:rsidP="00017EF5">
      <w:pPr>
        <w:rPr>
          <w:rFonts w:ascii="仿宋_GB2312" w:hAnsi="仿宋_GB2312" w:cs="仿宋_GB2312" w:hint="eastAsia"/>
          <w:sz w:val="32"/>
          <w:szCs w:val="32"/>
        </w:rPr>
      </w:pPr>
    </w:p>
    <w:p w:rsidR="00017EF5" w:rsidRDefault="00017EF5" w:rsidP="00017EF5">
      <w:pPr>
        <w:widowControl/>
        <w:adjustRightInd w:val="0"/>
        <w:snapToGrid w:val="0"/>
        <w:spacing w:line="560" w:lineRule="exac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咸宁市发展和改革委员会</w:t>
      </w:r>
    </w:p>
    <w:p w:rsidR="00017EF5" w:rsidRDefault="00017EF5" w:rsidP="00017EF5">
      <w:pPr>
        <w:widowControl/>
        <w:adjustRightInd w:val="0"/>
        <w:snapToGrid w:val="0"/>
        <w:spacing w:line="560" w:lineRule="exac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咸宁市卫生健康委员会</w:t>
      </w:r>
    </w:p>
    <w:p w:rsidR="00017EF5" w:rsidRDefault="00017EF5" w:rsidP="00017EF5">
      <w:pPr>
        <w:ind w:firstLineChars="1700" w:firstLine="544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咸宁市生态环境局</w:t>
      </w:r>
    </w:p>
    <w:p w:rsidR="00441C1D" w:rsidRDefault="00017EF5" w:rsidP="00017EF5">
      <w:pPr>
        <w:ind w:firstLineChars="1700" w:firstLine="5440"/>
        <w:jc w:val="right"/>
      </w:pPr>
      <w:r>
        <w:rPr>
          <w:rFonts w:ascii="仿宋_GB2312" w:hAnsi="仿宋_GB2312" w:cs="仿宋_GB2312" w:hint="eastAsia"/>
          <w:sz w:val="32"/>
          <w:szCs w:val="32"/>
        </w:rPr>
        <w:t>2025年  月  日</w:t>
      </w:r>
    </w:p>
    <w:sectPr w:rsidR="0044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F5"/>
    <w:rsid w:val="00017EF5"/>
    <w:rsid w:val="004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79A9"/>
  <w15:chartTrackingRefBased/>
  <w15:docId w15:val="{C08CA88F-5964-47EA-AD98-030AB26F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17EF5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017EF5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017EF5"/>
    <w:rPr>
      <w:rFonts w:ascii="Times New Roman" w:eastAsia="仿宋_GB2312" w:hAnsi="Times New Roman" w:cs="Times New Roman"/>
      <w:szCs w:val="24"/>
    </w:rPr>
  </w:style>
  <w:style w:type="paragraph" w:styleId="2">
    <w:name w:val="Body Text First Indent 2"/>
    <w:basedOn w:val="a"/>
    <w:next w:val="a"/>
    <w:link w:val="20"/>
    <w:qFormat/>
    <w:rsid w:val="00017EF5"/>
    <w:pPr>
      <w:spacing w:after="120"/>
      <w:ind w:leftChars="200" w:left="200" w:firstLineChars="200" w:firstLine="200"/>
    </w:pPr>
    <w:rPr>
      <w:rFonts w:eastAsia="宋体"/>
      <w:szCs w:val="20"/>
    </w:rPr>
  </w:style>
  <w:style w:type="character" w:customStyle="1" w:styleId="20">
    <w:name w:val="正文首行缩进 2 字符"/>
    <w:basedOn w:val="a5"/>
    <w:link w:val="2"/>
    <w:rsid w:val="00017EF5"/>
    <w:rPr>
      <w:rFonts w:ascii="Times New Roman" w:eastAsia="宋体" w:hAnsi="Times New Roman" w:cs="Times New Roman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017EF5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017EF5"/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2025-09-12T12:23:00Z</dcterms:created>
  <dcterms:modified xsi:type="dcterms:W3CDTF">2025-09-12T12:24:00Z</dcterms:modified>
</cp:coreProperties>
</file>